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WCHS BOOSTER CLUB GENERAL MEMBERSHIP MEETING MINUTES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Wed., Dec. 6, 2023 – 7:00 PM (Room 156A inside the WCHS Cafeteria)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Attendees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Bridget Calhoun, Marcy Kreindler,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Aby Philomeno, Jenny Camps, Cheryl Sheer,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Ashleigh O’Brien, Hayley Flack, Jesse Smith, Jane Field, Marie O’Connor, Patrick Corkey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and President’s Update – Bridget Calhoun</w:t>
        <w:tab/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line="240" w:lineRule="auto"/>
        <w:ind w:left="108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11/01/23 General Membership Meeting Minutes were unanimously approved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line="240" w:lineRule="auto"/>
        <w:ind w:left="108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New winter season &amp; new JV families - Encouraged engagement of new families for membership, volunteering, and involvement in Booster Club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line="240" w:lineRule="auto"/>
        <w:ind w:left="108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January - looking ahead, plan to have discussion regarding recruiting candidates for open Officer and Board positions and transition planning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spacing w:after="0" w:line="240" w:lineRule="auto"/>
        <w:ind w:left="180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May look into adding a President-elect position for easier transition</w:t>
      </w:r>
    </w:p>
    <w:p w:rsidR="00000000" w:rsidDel="00000000" w:rsidP="00000000" w:rsidRDefault="00000000" w:rsidRPr="00000000" w14:paraId="0000000A">
      <w:pPr>
        <w:spacing w:after="0" w:line="240" w:lineRule="auto"/>
        <w:ind w:left="144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Athletic Department Update – Jesse Smith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Presented background on impending funding request to install an outdoor sound system for the FH &amp; softball fields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RCI Quote - $11,813.  Proposed to be funded as follows: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Boosters = $8k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FH &amp; softball teams = $2k each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Expects FH &amp; softball teams to fundraise a portion each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Flex Fundraising platform suggested as an option to raise substantial funds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FH Team Booster acct has approx $2,200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Softball Team Booster acct has approx $4,400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Timeline - If the teams and the Booster Club approve the funding request before winter break, could potentially be installed and ready for the 2024 spring season.  (*On Dec. 13, 2023, the Board voted to approve to fund the balance (~$8K) of the sound system after $2K contributions from each team.)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SGA Community Carnival on April 27 - Mr. Taylor would like support for a Community Carnival run by SGA in the football stadium - will include booths for teams and clubs - requests that the Booster Club open concessions.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Varsity Boys Soccer Coach stepped down - hiring new coach (*new coach hired since this meeting was held- Stephen Hauschild (WCHS alum)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Hiring new JV Baseball Coach (*new coach hired since this meeting was held- Efrain Feliz)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Varsity Girls Lacrosse Coach has been hired- Casey Fletcher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Fall Sports - honors selections announced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Report – Ashleigh O’Brien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Membership down 9% in revenue but this is compared to last year prior to winter sports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Banner sales equivalent to last year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Concession revenue is up 50%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School store is up 18%, but still in the red because we haven’t yet paid for inventory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&amp; Winter Team Reps Update Report – Aby Philomeno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All Booster reps have been secured other than Bocce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As of 12/03/23, 6 new memberships consisting of 9 Friends, 7 Silver, 0 Golf, 0 Platinum = $1,190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As of 12/03/23, 276 total new memberships, consisting of 160 Friends, 82 Silver, 21 Gold, 13 Platinum = $31,740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i.   4 new Yard signs - 81/276 (29%)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Spirit Committee Report – Jenny Camps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Planning community nights - all winter teams invited to host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Working to find dates with Girls &amp; Boys Basketball coaches (Since this meeting, Jan. 16th vs. Northwood set for Girls Basketball)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May plan off-site Community Nights for Swim &amp; Dive and Indoor track teams (After this meeting, it turns out the outdoor track meet @ Churchill track on 12/19 was canceled due to weather.)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Will reach out to Seven Locks Running Club &amp; GOTR to advertise to their members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Will reach out to swim clubs to advertise to their members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Will include giveaways, such as noise makers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Sponsors for community night are welcome. House to Home Solutions interested in sponsoring one.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Community night volunteers are needed - students or adults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Rule="auto"/>
        <w:ind w:left="108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Senior Wall signings will happen mid-season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Advertising/Corporate Sponsorship Report – Hayley Flack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New sponsor: The Market at River Falls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23 total sponsors - lost 5 from last year but gained 8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i. 2 sponsors purchased window pane &amp; banner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ii. House to Home Solutions - would like to drum up business at games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Store Report – Wendy Feldman &amp; Penny Bortnick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Needs signage for the School Store during games/events. Will be open during select basketball games this winter.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Needs volunteers for School store on Tuesday/Thursday during lunch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Communications Report – Cheryl Sheer (Newsletter)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Emails opened by over 60% readership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1360 total subscribers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December newsletter (condensed version) will highlight sponsors; winter team memberships - content due 12/13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January newsletter will be released 01/15 - content due 01/10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Concessions Report – Jake Lynn &amp; Bridget Calhoun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line="240" w:lineRule="auto"/>
        <w:ind w:left="108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Indoor concessions are open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Bulldog Bash Report – Rachael Datch &amp; Deb Muniz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lineRule="auto"/>
        <w:ind w:left="108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Save the Date - Friday, April 5 @ The Core @ Tower Oaks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lineRule="auto"/>
        <w:ind w:left="108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Tickets will go on sale in January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Booster Reps’ Updates &amp; “Open Mic”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Softball rep &amp; Girls basketball rep attended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@ 8:27 pm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firstLine="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1440" w:firstLine="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160" w:firstLine="0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2880" w:firstLine="0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3600" w:firstLine="0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7N8UUs3B1XPwuC7RxZBnpCauw==">CgMxLjA4AHIhMXpKR29MQzloWkZCQmV6V19hNXRIVHFvaHRzdTJ1TWlp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